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after="0" w:line="240" w:lineRule="auto"/>
        <w:jc w:val="center"/>
        <w:rPr>
          <w:rFonts w:ascii="Arial" w:cs="Arial" w:hAnsi="Arial" w:eastAsia="Arial"/>
          <w:b w:val="1"/>
          <w:bCs w:val="1"/>
          <w:outline w:val="0"/>
          <w:color w:val="00b050"/>
          <w:sz w:val="28"/>
          <w:szCs w:val="28"/>
          <w:u w:color="00b050"/>
          <w14:textFill>
            <w14:solidFill>
              <w14:srgbClr w14:val="00B050"/>
            </w14:solidFill>
          </w14:textFill>
        </w:rPr>
      </w:pPr>
      <w:r>
        <w:rPr>
          <w:rFonts w:ascii="Arial" w:hAnsi="Arial" w:hint="default"/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 xml:space="preserve">Проектное решение на базе ГТУ </w:t>
      </w:r>
      <w:r>
        <w:rPr>
          <w:rFonts w:ascii="Arial" w:hAnsi="Arial"/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 xml:space="preserve">OPRA </w:t>
      </w:r>
      <w:r>
        <w:rPr>
          <w:rFonts w:ascii="Arial" w:hAnsi="Arial" w:hint="default"/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ОР</w:t>
      </w:r>
      <w:r>
        <w:rPr>
          <w:rFonts w:ascii="Arial" w:hAnsi="Arial"/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16-3</w:t>
      </w:r>
      <w:r>
        <w:rPr>
          <w:rFonts w:ascii="Arial" w:hAnsi="Arial" w:hint="default"/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А</w:t>
      </w:r>
    </w:p>
    <w:p>
      <w:pPr>
        <w:pStyle w:val="Normal.0"/>
        <w:spacing w:after="0" w:line="240" w:lineRule="auto"/>
        <w:jc w:val="both"/>
        <w:rPr>
          <w:rFonts w:ascii="Arial" w:cs="Arial" w:hAnsi="Arial" w:eastAsia="Arial"/>
          <w:sz w:val="16"/>
          <w:szCs w:val="16"/>
        </w:rPr>
      </w:pPr>
    </w:p>
    <w:p>
      <w:pPr>
        <w:pStyle w:val="Normal.0"/>
        <w:spacing w:after="0" w:line="240" w:lineRule="auto"/>
        <w:ind w:firstLine="709"/>
        <w:jc w:val="both"/>
        <w:rPr>
          <w:b w:val="1"/>
          <w:bCs w:val="1"/>
          <w:outline w:val="0"/>
          <w:color w:val="00b050"/>
          <w:sz w:val="28"/>
          <w:szCs w:val="28"/>
          <w:u w:color="00b050"/>
          <w14:textFill>
            <w14:solidFill>
              <w14:srgbClr w14:val="00B050"/>
            </w14:solidFill>
          </w14:textFill>
        </w:rPr>
      </w:pP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Технические характеристики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 xml:space="preserve">, 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 xml:space="preserve">предлагаемое количество и техническое состояние основного энергетического оборудования 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(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ГТУ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):</w:t>
      </w:r>
    </w:p>
    <w:p>
      <w:pPr>
        <w:pStyle w:val="Normal.0"/>
        <w:spacing w:after="0" w:line="240" w:lineRule="auto"/>
        <w:ind w:firstLine="709"/>
        <w:jc w:val="both"/>
        <w:rPr>
          <w:b w:val="1"/>
          <w:bCs w:val="1"/>
          <w:sz w:val="16"/>
          <w:szCs w:val="16"/>
        </w:rPr>
      </w:pPr>
    </w:p>
    <w:p>
      <w:pPr>
        <w:pStyle w:val="Normal.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Когенерационные газотурбинные генераторные установки </w:t>
      </w:r>
      <w:r>
        <w:rPr>
          <w:sz w:val="28"/>
          <w:szCs w:val="28"/>
          <w:rtl w:val="0"/>
          <w:lang w:val="ru-RU"/>
        </w:rPr>
        <w:t>OPRA</w:t>
      </w:r>
      <w:r>
        <w:rPr>
          <w:sz w:val="28"/>
          <w:szCs w:val="28"/>
          <w:rtl w:val="0"/>
          <w:lang w:val="ru-RU"/>
        </w:rPr>
        <w:t>–</w:t>
      </w:r>
      <w:r>
        <w:rPr>
          <w:sz w:val="28"/>
          <w:szCs w:val="28"/>
          <w:rtl w:val="0"/>
          <w:lang w:val="ru-RU"/>
        </w:rPr>
        <w:t>DTG 1.8/2.0 (OPRA OP16-3A):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Турбина – одновальная полностью радиальная промышленная турбина ОР</w:t>
      </w:r>
      <w:r>
        <w:rPr>
          <w:sz w:val="28"/>
          <w:szCs w:val="28"/>
          <w:rtl w:val="0"/>
          <w:lang w:val="ru-RU"/>
        </w:rPr>
        <w:t>16- 3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электрическая мощность </w:t>
      </w:r>
      <w:r>
        <w:rPr>
          <w:sz w:val="28"/>
          <w:szCs w:val="28"/>
          <w:rtl w:val="0"/>
          <w:lang w:val="ru-RU"/>
        </w:rPr>
        <w:t xml:space="preserve">1850 </w:t>
      </w:r>
      <w:r>
        <w:rPr>
          <w:sz w:val="28"/>
          <w:szCs w:val="28"/>
          <w:rtl w:val="0"/>
          <w:lang w:val="ru-RU"/>
        </w:rPr>
        <w:t xml:space="preserve">кВт в условиях </w:t>
      </w:r>
      <w:r>
        <w:rPr>
          <w:sz w:val="28"/>
          <w:szCs w:val="28"/>
          <w:rtl w:val="0"/>
          <w:lang w:val="ru-RU"/>
        </w:rPr>
        <w:t xml:space="preserve">ISO. </w:t>
      </w:r>
      <w:r>
        <w:rPr>
          <w:sz w:val="28"/>
          <w:szCs w:val="28"/>
          <w:rtl w:val="0"/>
          <w:lang w:val="ru-RU"/>
        </w:rPr>
        <w:t>Типичная эмиссия двигателя ОР</w:t>
      </w:r>
      <w:r>
        <w:rPr>
          <w:sz w:val="28"/>
          <w:szCs w:val="28"/>
          <w:rtl w:val="0"/>
          <w:lang w:val="ru-RU"/>
        </w:rPr>
        <w:t>16-3</w:t>
      </w:r>
      <w:r>
        <w:rPr>
          <w:sz w:val="28"/>
          <w:szCs w:val="28"/>
          <w:rtl w:val="0"/>
          <w:lang w:val="ru-RU"/>
        </w:rPr>
        <w:t xml:space="preserve">А при работе на стандартном газе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меньше </w:t>
      </w:r>
      <w:r>
        <w:rPr>
          <w:sz w:val="28"/>
          <w:szCs w:val="28"/>
          <w:rtl w:val="0"/>
          <w:lang w:val="ru-RU"/>
        </w:rPr>
        <w:t xml:space="preserve">100 ppm </w:t>
      </w:r>
      <w:r>
        <w:rPr>
          <w:sz w:val="28"/>
          <w:szCs w:val="28"/>
          <w:rtl w:val="0"/>
          <w:lang w:val="ru-RU"/>
        </w:rPr>
        <w:t xml:space="preserve">окислов азота </w:t>
      </w:r>
      <w:r>
        <w:rPr>
          <w:sz w:val="28"/>
          <w:szCs w:val="28"/>
          <w:rtl w:val="0"/>
          <w:lang w:val="ru-RU"/>
        </w:rPr>
        <w:t xml:space="preserve">(NOx)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sz w:val="28"/>
          <w:szCs w:val="28"/>
          <w:rtl w:val="0"/>
          <w:lang w:val="ru-RU"/>
        </w:rPr>
        <w:t xml:space="preserve">50 ppm </w:t>
      </w:r>
      <w:r>
        <w:rPr>
          <w:sz w:val="28"/>
          <w:szCs w:val="28"/>
          <w:rtl w:val="0"/>
          <w:lang w:val="ru-RU"/>
        </w:rPr>
        <w:t xml:space="preserve">оксида углерода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СО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при номинальной мощности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Генератор – бесщеточного типа</w:t>
      </w:r>
      <w:r>
        <w:rPr>
          <w:sz w:val="28"/>
          <w:szCs w:val="28"/>
          <w:rtl w:val="0"/>
          <w:lang w:val="ru-RU"/>
        </w:rPr>
        <w:t>, 4-</w:t>
      </w:r>
      <w:r>
        <w:rPr>
          <w:sz w:val="28"/>
          <w:szCs w:val="28"/>
          <w:rtl w:val="0"/>
          <w:lang w:val="ru-RU"/>
        </w:rPr>
        <w:t>полюсный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трехфазный</w:t>
      </w:r>
      <w:r>
        <w:rPr>
          <w:sz w:val="28"/>
          <w:szCs w:val="28"/>
          <w:rtl w:val="0"/>
          <w:lang w:val="ru-RU"/>
        </w:rPr>
        <w:t xml:space="preserve">, 400 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, 50 </w:t>
      </w:r>
      <w:r>
        <w:rPr>
          <w:sz w:val="28"/>
          <w:szCs w:val="28"/>
          <w:rtl w:val="0"/>
          <w:lang w:val="ru-RU"/>
        </w:rPr>
        <w:t>Гц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Размеры – длина </w:t>
      </w:r>
      <w:r>
        <w:rPr>
          <w:sz w:val="28"/>
          <w:szCs w:val="28"/>
          <w:rtl w:val="0"/>
          <w:lang w:val="ru-RU"/>
        </w:rPr>
        <w:t xml:space="preserve">7670 </w:t>
      </w:r>
      <w:r>
        <w:rPr>
          <w:sz w:val="28"/>
          <w:szCs w:val="28"/>
          <w:rtl w:val="0"/>
          <w:lang w:val="ru-RU"/>
        </w:rPr>
        <w:t>мм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ширина </w:t>
      </w:r>
      <w:r>
        <w:rPr>
          <w:sz w:val="28"/>
          <w:szCs w:val="28"/>
          <w:rtl w:val="0"/>
          <w:lang w:val="ru-RU"/>
        </w:rPr>
        <w:t xml:space="preserve">2100 </w:t>
      </w:r>
      <w:r>
        <w:rPr>
          <w:sz w:val="28"/>
          <w:szCs w:val="28"/>
          <w:rtl w:val="0"/>
          <w:lang w:val="ru-RU"/>
        </w:rPr>
        <w:t>мм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высота </w:t>
      </w:r>
      <w:r>
        <w:rPr>
          <w:sz w:val="28"/>
          <w:szCs w:val="28"/>
          <w:rtl w:val="0"/>
          <w:lang w:val="ru-RU"/>
        </w:rPr>
        <w:t xml:space="preserve">5655 </w:t>
      </w:r>
      <w:r>
        <w:rPr>
          <w:sz w:val="28"/>
          <w:szCs w:val="28"/>
          <w:rtl w:val="0"/>
          <w:lang w:val="ru-RU"/>
        </w:rPr>
        <w:t>мм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масса </w:t>
      </w:r>
      <w:r>
        <w:rPr>
          <w:sz w:val="28"/>
          <w:szCs w:val="28"/>
          <w:rtl w:val="0"/>
          <w:lang w:val="ru-RU"/>
        </w:rPr>
        <w:t xml:space="preserve">21 </w:t>
      </w:r>
      <w:r>
        <w:rPr>
          <w:sz w:val="28"/>
          <w:szCs w:val="28"/>
          <w:rtl w:val="0"/>
          <w:lang w:val="ru-RU"/>
        </w:rPr>
        <w:t>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Масса и размеры даны с учетом установленной системы воздухоподготовки и системы выхлопа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Уровень шума – </w:t>
      </w:r>
      <w:r>
        <w:rPr>
          <w:sz w:val="28"/>
          <w:szCs w:val="28"/>
          <w:rtl w:val="0"/>
          <w:lang w:val="ru-RU"/>
        </w:rPr>
        <w:t xml:space="preserve">85 </w:t>
      </w:r>
      <w:r>
        <w:rPr>
          <w:sz w:val="28"/>
          <w:szCs w:val="28"/>
          <w:rtl w:val="0"/>
          <w:lang w:val="ru-RU"/>
        </w:rPr>
        <w:t>дБ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на расстоянии </w:t>
      </w:r>
      <w:r>
        <w:rPr>
          <w:sz w:val="28"/>
          <w:szCs w:val="28"/>
          <w:rtl w:val="0"/>
          <w:lang w:val="ru-RU"/>
        </w:rPr>
        <w:t xml:space="preserve">1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Время холодного пуска – </w:t>
      </w:r>
      <w:r>
        <w:rPr>
          <w:sz w:val="28"/>
          <w:szCs w:val="28"/>
          <w:rtl w:val="0"/>
          <w:lang w:val="ru-RU"/>
        </w:rPr>
        <w:t xml:space="preserve">300 </w:t>
      </w:r>
      <w:r>
        <w:rPr>
          <w:sz w:val="28"/>
          <w:szCs w:val="28"/>
          <w:rtl w:val="0"/>
          <w:lang w:val="ru-RU"/>
        </w:rPr>
        <w:t>секунд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Территориальные условия – окружающая температура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от </w:t>
      </w:r>
      <w:r>
        <w:rPr>
          <w:sz w:val="28"/>
          <w:szCs w:val="28"/>
          <w:rtl w:val="0"/>
          <w:lang w:val="ru-RU"/>
        </w:rPr>
        <w:t>-40</w:t>
      </w:r>
      <w:r>
        <w:rPr>
          <w:sz w:val="28"/>
          <w:szCs w:val="28"/>
          <w:rtl w:val="0"/>
          <w:lang w:val="ru-RU"/>
        </w:rPr>
        <w:t>°</w:t>
      </w:r>
      <w:r>
        <w:rPr>
          <w:sz w:val="28"/>
          <w:szCs w:val="28"/>
          <w:rtl w:val="0"/>
          <w:lang w:val="ru-RU"/>
        </w:rPr>
        <w:t xml:space="preserve">C </w:t>
      </w:r>
      <w:r>
        <w:rPr>
          <w:sz w:val="28"/>
          <w:szCs w:val="28"/>
          <w:rtl w:val="0"/>
          <w:lang w:val="ru-RU"/>
        </w:rPr>
        <w:t xml:space="preserve">до </w:t>
      </w:r>
      <w:r>
        <w:rPr>
          <w:sz w:val="28"/>
          <w:szCs w:val="28"/>
          <w:rtl w:val="0"/>
          <w:lang w:val="ru-RU"/>
        </w:rPr>
        <w:t>+35</w:t>
      </w:r>
      <w:r>
        <w:rPr>
          <w:sz w:val="28"/>
          <w:szCs w:val="28"/>
          <w:rtl w:val="0"/>
          <w:lang w:val="ru-RU"/>
        </w:rPr>
        <w:t>°С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высота  площадки </w:t>
      </w:r>
      <w:r>
        <w:rPr>
          <w:sz w:val="28"/>
          <w:szCs w:val="28"/>
          <w:rtl w:val="0"/>
          <w:lang w:val="ru-RU"/>
        </w:rPr>
        <w:t>110</w:t>
      </w:r>
      <w:r>
        <w:rPr>
          <w:sz w:val="28"/>
          <w:szCs w:val="28"/>
          <w:rtl w:val="0"/>
          <w:lang w:val="ru-RU"/>
        </w:rPr>
        <w:t>м над уровнем моря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Вид топлива – газовое топливо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Количество – </w:t>
      </w:r>
      <w:r>
        <w:rPr>
          <w:sz w:val="28"/>
          <w:szCs w:val="28"/>
          <w:rtl w:val="0"/>
          <w:lang w:val="ru-RU"/>
        </w:rPr>
        <w:t xml:space="preserve">6 </w:t>
      </w:r>
      <w:r>
        <w:rPr>
          <w:sz w:val="28"/>
          <w:szCs w:val="28"/>
          <w:rtl w:val="0"/>
          <w:lang w:val="ru-RU"/>
        </w:rPr>
        <w:t>единиц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Техническое состояние – новые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без наработки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хранятся на ответственном хранении на складе завода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производителя </w:t>
      </w:r>
      <w:r>
        <w:rPr>
          <w:sz w:val="28"/>
          <w:szCs w:val="28"/>
          <w:rtl w:val="0"/>
          <w:lang w:val="ru-RU"/>
        </w:rPr>
        <w:t xml:space="preserve">- OPRA Turbines B.V., Haaksbergerstraat 71, 7554 PA, </w:t>
      </w:r>
      <w:r>
        <w:rPr>
          <w:sz w:val="28"/>
          <w:szCs w:val="28"/>
          <w:rtl w:val="0"/>
          <w:lang w:val="ru-RU"/>
        </w:rPr>
        <w:t>Хенгело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Нидерланды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ГТУ принадлежат собственнику – российской компании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праве собственности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полностью оплачены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ind w:firstLine="709"/>
        <w:jc w:val="both"/>
        <w:rPr>
          <w:sz w:val="16"/>
          <w:szCs w:val="16"/>
        </w:rPr>
      </w:pPr>
    </w:p>
    <w:p>
      <w:pPr>
        <w:pStyle w:val="Normal.0"/>
        <w:spacing w:after="0" w:line="240" w:lineRule="auto"/>
        <w:jc w:val="center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5267325" cy="3448050"/>
            <wp:effectExtent l="0" t="0" r="0" b="0"/>
            <wp:docPr id="1073741825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48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ind w:firstLine="709"/>
        <w:jc w:val="center"/>
        <w:rPr>
          <w:i w:val="1"/>
          <w:iCs w:val="1"/>
          <w:sz w:val="20"/>
          <w:szCs w:val="20"/>
        </w:rPr>
      </w:pPr>
      <w:r>
        <w:rPr>
          <w:i w:val="1"/>
          <w:iCs w:val="1"/>
          <w:sz w:val="20"/>
          <w:szCs w:val="20"/>
          <w:rtl w:val="0"/>
          <w:lang w:val="ru-RU"/>
        </w:rPr>
        <w:t>Пример установки в сборе</w:t>
      </w:r>
    </w:p>
    <w:p>
      <w:pPr>
        <w:pStyle w:val="Normal.0"/>
        <w:spacing w:after="0" w:line="240" w:lineRule="auto"/>
        <w:ind w:firstLine="709"/>
        <w:jc w:val="both"/>
        <w:rPr>
          <w:b w:val="1"/>
          <w:bCs w:val="1"/>
          <w:outline w:val="0"/>
          <w:color w:val="00b050"/>
          <w:sz w:val="28"/>
          <w:szCs w:val="28"/>
          <w:u w:color="00b050"/>
          <w14:textFill>
            <w14:solidFill>
              <w14:srgbClr w14:val="00B050"/>
            </w14:solidFill>
          </w14:textFill>
        </w:rPr>
      </w:pP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На базе ГТУ разработано комплексное проектное решение модульного когенерационного энергоцентра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 xml:space="preserve">: 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 xml:space="preserve">с одновременной выработкой электрической и тепловой энергии 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(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горячая вода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).</w:t>
      </w:r>
    </w:p>
    <w:p>
      <w:pPr>
        <w:pStyle w:val="Normal.0"/>
        <w:spacing w:after="0" w:line="240" w:lineRule="auto"/>
        <w:ind w:firstLine="709"/>
        <w:jc w:val="both"/>
        <w:rPr>
          <w:sz w:val="28"/>
          <w:szCs w:val="28"/>
        </w:rPr>
      </w:pP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b050"/>
          <w:sz w:val="28"/>
          <w:szCs w:val="28"/>
          <w:u w:color="00b050"/>
          <w14:textFill>
            <w14:solidFill>
              <w14:srgbClr w14:val="00B050"/>
            </w14:solidFill>
          </w14:textFill>
        </w:rPr>
      </w:pP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Основные параметры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:</w:t>
      </w:r>
    </w:p>
    <w:p>
      <w:pPr>
        <w:pStyle w:val="Normal.0"/>
        <w:spacing w:after="0" w:line="240" w:lineRule="auto"/>
        <w:jc w:val="both"/>
        <w:rPr>
          <w:sz w:val="16"/>
          <w:szCs w:val="16"/>
        </w:rPr>
      </w:pP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Номинальная электрическая мощность энергоцентра</w:t>
      </w:r>
      <w:r>
        <w:rPr>
          <w:sz w:val="28"/>
          <w:szCs w:val="28"/>
          <w:rtl w:val="0"/>
          <w:lang w:val="ru-RU"/>
        </w:rPr>
        <w:t xml:space="preserve">: 3,6 </w:t>
      </w:r>
      <w:r>
        <w:rPr>
          <w:sz w:val="28"/>
          <w:szCs w:val="28"/>
          <w:rtl w:val="0"/>
          <w:lang w:val="ru-RU"/>
        </w:rPr>
        <w:t xml:space="preserve">МВт </w:t>
      </w:r>
      <w:r>
        <w:rPr>
          <w:sz w:val="28"/>
          <w:szCs w:val="28"/>
          <w:rtl w:val="0"/>
          <w:lang w:val="ru-RU"/>
        </w:rPr>
        <w:t>(2</w:t>
      </w:r>
      <w:r>
        <w:rPr>
          <w:sz w:val="28"/>
          <w:szCs w:val="28"/>
          <w:rtl w:val="0"/>
          <w:lang w:val="ru-RU"/>
        </w:rPr>
        <w:t>х</w:t>
      </w:r>
      <w:r>
        <w:rPr>
          <w:sz w:val="28"/>
          <w:szCs w:val="28"/>
          <w:rtl w:val="0"/>
          <w:lang w:val="ru-RU"/>
        </w:rPr>
        <w:t>1,8</w:t>
      </w:r>
      <w:r>
        <w:rPr>
          <w:sz w:val="28"/>
          <w:szCs w:val="28"/>
          <w:rtl w:val="0"/>
          <w:lang w:val="ru-RU"/>
        </w:rPr>
        <w:t>МВт</w:t>
      </w:r>
      <w:r>
        <w:rPr>
          <w:sz w:val="28"/>
          <w:szCs w:val="28"/>
          <w:rtl w:val="0"/>
          <w:lang w:val="ru-RU"/>
        </w:rPr>
        <w:t>),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Класс напряжения</w:t>
      </w:r>
      <w:r>
        <w:rPr>
          <w:sz w:val="28"/>
          <w:szCs w:val="28"/>
          <w:rtl w:val="0"/>
          <w:lang w:val="ru-RU"/>
        </w:rPr>
        <w:t xml:space="preserve">: 0,4 </w:t>
      </w:r>
      <w:r>
        <w:rPr>
          <w:sz w:val="28"/>
          <w:szCs w:val="28"/>
          <w:rtl w:val="0"/>
          <w:lang w:val="ru-RU"/>
        </w:rPr>
        <w:t xml:space="preserve">кВ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возможно изменение напряжения с установкой повышающих трансформаторов</w:t>
      </w:r>
      <w:r>
        <w:rPr>
          <w:sz w:val="28"/>
          <w:szCs w:val="28"/>
          <w:rtl w:val="0"/>
          <w:lang w:val="ru-RU"/>
        </w:rPr>
        <w:t>),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Топливо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природный газ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попутный нефтяной газ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Режим работы энергоцентра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постоянный</w:t>
      </w:r>
      <w:r>
        <w:rPr>
          <w:sz w:val="28"/>
          <w:szCs w:val="28"/>
          <w:rtl w:val="0"/>
          <w:lang w:val="ru-RU"/>
        </w:rPr>
        <w:t>\</w:t>
      </w:r>
      <w:r>
        <w:rPr>
          <w:sz w:val="28"/>
          <w:szCs w:val="28"/>
          <w:rtl w:val="0"/>
          <w:lang w:val="ru-RU"/>
        </w:rPr>
        <w:t>резервный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Климатическое исполнение</w:t>
      </w:r>
      <w:r>
        <w:rPr>
          <w:sz w:val="28"/>
          <w:szCs w:val="28"/>
          <w:rtl w:val="0"/>
          <w:lang w:val="ru-RU"/>
        </w:rPr>
        <w:t>: -50</w:t>
      </w:r>
      <w:r>
        <w:rPr>
          <w:sz w:val="28"/>
          <w:szCs w:val="28"/>
          <w:rtl w:val="0"/>
          <w:lang w:val="ru-RU"/>
        </w:rPr>
        <w:t>…</w:t>
      </w:r>
      <w:r>
        <w:rPr>
          <w:sz w:val="28"/>
          <w:szCs w:val="28"/>
          <w:rtl w:val="0"/>
          <w:lang w:val="ru-RU"/>
        </w:rPr>
        <w:t xml:space="preserve">+40 </w:t>
      </w:r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Исполнение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стационарное быстровозводимое модульное здание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возможна установка до </w:t>
      </w:r>
      <w:r>
        <w:rPr>
          <w:sz w:val="28"/>
          <w:szCs w:val="28"/>
          <w:rtl w:val="0"/>
          <w:lang w:val="ru-RU"/>
        </w:rPr>
        <w:t xml:space="preserve">4 </w:t>
      </w:r>
      <w:r>
        <w:rPr>
          <w:sz w:val="28"/>
          <w:szCs w:val="28"/>
          <w:rtl w:val="0"/>
          <w:lang w:val="ru-RU"/>
        </w:rPr>
        <w:t>модулей на одной площадке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на свайном или плитном основании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зависимости от характеристик площадки</w:t>
      </w:r>
      <w:r>
        <w:rPr>
          <w:sz w:val="28"/>
          <w:szCs w:val="28"/>
          <w:rtl w:val="0"/>
          <w:lang w:val="ru-RU"/>
        </w:rPr>
        <w:t>),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Требуемые ресурсы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газ </w:t>
      </w:r>
      <w:r>
        <w:rPr>
          <w:sz w:val="28"/>
          <w:szCs w:val="28"/>
          <w:rtl w:val="0"/>
          <w:lang w:val="ru-RU"/>
        </w:rPr>
        <w:t xml:space="preserve">(1400 </w:t>
      </w:r>
      <w:r>
        <w:rPr>
          <w:sz w:val="28"/>
          <w:szCs w:val="28"/>
          <w:rtl w:val="0"/>
          <w:lang w:val="ru-RU"/>
        </w:rPr>
        <w:t>Нм</w:t>
      </w:r>
      <w:r>
        <w:rPr>
          <w:sz w:val="28"/>
          <w:szCs w:val="28"/>
          <w:rtl w:val="0"/>
          <w:lang w:val="ru-RU"/>
        </w:rPr>
        <w:t xml:space="preserve">3 </w:t>
      </w:r>
      <w:r>
        <w:rPr>
          <w:sz w:val="28"/>
          <w:szCs w:val="28"/>
          <w:rtl w:val="0"/>
          <w:lang w:val="ru-RU"/>
        </w:rPr>
        <w:t>в час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оборотная вода систем утилизации тепла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after="0" w:line="240" w:lineRule="auto"/>
        <w:jc w:val="both"/>
        <w:rPr>
          <w:sz w:val="16"/>
          <w:szCs w:val="16"/>
        </w:rPr>
      </w:pPr>
    </w:p>
    <w:p>
      <w:pPr>
        <w:pStyle w:val="Normal.0"/>
        <w:spacing w:after="0" w:line="240" w:lineRule="auto"/>
        <w:jc w:val="both"/>
        <w:rPr>
          <w:b w:val="1"/>
          <w:bCs w:val="1"/>
          <w:outline w:val="0"/>
          <w:color w:val="00b050"/>
          <w:sz w:val="28"/>
          <w:szCs w:val="28"/>
          <w:u w:color="00b050"/>
          <w14:textFill>
            <w14:solidFill>
              <w14:srgbClr w14:val="00B050"/>
            </w14:solidFill>
          </w14:textFill>
        </w:rPr>
      </w:pP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 xml:space="preserve">Особенности проектного решения на базе ГТУ 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 xml:space="preserve">OPRA 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ОР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16-3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А</w:t>
      </w:r>
      <w:r>
        <w:rPr>
          <w:b w:val="1"/>
          <w:bCs w:val="1"/>
          <w:outline w:val="0"/>
          <w:color w:val="00b050"/>
          <w:sz w:val="28"/>
          <w:szCs w:val="28"/>
          <w:u w:color="00b050"/>
          <w:rtl w:val="0"/>
          <w:lang w:val="ru-RU"/>
          <w14:textFill>
            <w14:solidFill>
              <w14:srgbClr w14:val="00B050"/>
            </w14:solidFill>
          </w14:textFill>
        </w:rPr>
        <w:t>:</w:t>
      </w:r>
    </w:p>
    <w:p>
      <w:pPr>
        <w:pStyle w:val="Normal.0"/>
        <w:spacing w:after="0" w:line="240" w:lineRule="auto"/>
        <w:jc w:val="both"/>
        <w:rPr>
          <w:sz w:val="16"/>
          <w:szCs w:val="16"/>
        </w:rPr>
      </w:pP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Устойчивость к сбросам </w:t>
      </w:r>
      <w:r>
        <w:rPr>
          <w:sz w:val="28"/>
          <w:szCs w:val="28"/>
          <w:rtl w:val="0"/>
          <w:lang w:val="ru-RU"/>
        </w:rPr>
        <w:t xml:space="preserve">\ </w:t>
      </w:r>
      <w:r>
        <w:rPr>
          <w:sz w:val="28"/>
          <w:szCs w:val="28"/>
          <w:rtl w:val="0"/>
          <w:lang w:val="ru-RU"/>
        </w:rPr>
        <w:t>набросам нагрузки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Устойчивость к качеству газа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содержание Н</w:t>
      </w:r>
      <w:r>
        <w:rPr>
          <w:sz w:val="28"/>
          <w:szCs w:val="28"/>
          <w:rtl w:val="0"/>
          <w:lang w:val="ru-RU"/>
        </w:rPr>
        <w:t xml:space="preserve">2S </w:t>
      </w:r>
      <w:r>
        <w:rPr>
          <w:sz w:val="28"/>
          <w:szCs w:val="28"/>
          <w:rtl w:val="0"/>
          <w:lang w:val="ru-RU"/>
        </w:rPr>
        <w:t xml:space="preserve">до </w:t>
      </w:r>
      <w:r>
        <w:rPr>
          <w:sz w:val="28"/>
          <w:szCs w:val="28"/>
          <w:rtl w:val="0"/>
          <w:lang w:val="ru-RU"/>
        </w:rPr>
        <w:t>4%),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Низкие эксплуатационные затраты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отсутствие угара масла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воздушное охлаждение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низкая стоимость сервиса</w:t>
      </w:r>
      <w:r>
        <w:rPr>
          <w:sz w:val="28"/>
          <w:szCs w:val="28"/>
          <w:rtl w:val="0"/>
          <w:lang w:val="ru-RU"/>
        </w:rPr>
        <w:t>),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Имеется проектная документация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требуется только привязка проекта</w:t>
      </w:r>
      <w:r>
        <w:rPr>
          <w:sz w:val="28"/>
          <w:szCs w:val="28"/>
          <w:rtl w:val="0"/>
          <w:lang w:val="ru-RU"/>
        </w:rPr>
        <w:t>),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Быстрый ввод в эксплуатацию</w:t>
      </w:r>
      <w:r>
        <w:rPr>
          <w:sz w:val="28"/>
          <w:szCs w:val="28"/>
          <w:rtl w:val="0"/>
          <w:lang w:val="ru-RU"/>
        </w:rPr>
        <w:t>,</w:t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Малые массогабаритные параметры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максимальный блок – </w:t>
      </w:r>
      <w:r>
        <w:rPr>
          <w:sz w:val="28"/>
          <w:szCs w:val="28"/>
          <w:rtl w:val="0"/>
          <w:lang w:val="ru-RU"/>
        </w:rPr>
        <w:t xml:space="preserve">22 </w:t>
      </w:r>
      <w:r>
        <w:rPr>
          <w:sz w:val="28"/>
          <w:szCs w:val="28"/>
          <w:rtl w:val="0"/>
          <w:lang w:val="ru-RU"/>
        </w:rPr>
        <w:t>тонны</w:t>
      </w:r>
      <w:r>
        <w:rPr>
          <w:sz w:val="28"/>
          <w:szCs w:val="28"/>
          <w:rtl w:val="0"/>
          <w:lang w:val="ru-RU"/>
        </w:rPr>
        <w:t>, 40-</w:t>
      </w:r>
      <w:r>
        <w:rPr>
          <w:sz w:val="28"/>
          <w:szCs w:val="28"/>
          <w:rtl w:val="0"/>
          <w:lang w:val="ru-RU"/>
        </w:rPr>
        <w:t>футовый контейнер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.0"/>
        <w:spacing w:after="0" w:line="240" w:lineRule="auto"/>
        <w:jc w:val="both"/>
        <w:rPr>
          <w:sz w:val="8"/>
          <w:szCs w:val="8"/>
        </w:rPr>
      </w:pPr>
    </w:p>
    <w:p>
      <w:pPr>
        <w:pStyle w:val="Normal.0"/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drawing xmlns:a="http://schemas.openxmlformats.org/drawingml/2006/main">
          <wp:inline distT="0" distB="0" distL="0" distR="0">
            <wp:extent cx="6206363" cy="3164960"/>
            <wp:effectExtent l="0" t="0" r="0" b="0"/>
            <wp:docPr id="1073741826" name="officeArt object" descr="E:\Рабочий стол\Белимов Руслан\7. ЭНЕРГЕТИКА\OPRA\2022.07.12_Бабынин\7135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:\Рабочий стол\Белимов Руслан\7. ЭНЕРГЕТИКА\OPRA\2022.07.12_Бабынин\713553.png" descr="E:\Рабочий стол\Белимов Руслан\7. ЭНЕРГЕТИКА\OPRA\2022.07.12_Бабынин\713553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363" cy="3164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ind w:firstLine="709"/>
        <w:jc w:val="center"/>
        <w:rPr>
          <w:i w:val="1"/>
          <w:iCs w:val="1"/>
          <w:sz w:val="20"/>
          <w:szCs w:val="20"/>
        </w:rPr>
      </w:pPr>
      <w:r>
        <w:rPr>
          <w:i w:val="1"/>
          <w:iCs w:val="1"/>
          <w:sz w:val="20"/>
          <w:szCs w:val="20"/>
          <w:rtl w:val="0"/>
          <w:lang w:val="ru-RU"/>
        </w:rPr>
        <w:t>Пример энергоцентра наружного исполнения</w:t>
      </w:r>
    </w:p>
    <w:p>
      <w:pPr>
        <w:pStyle w:val="Normal.0"/>
        <w:spacing w:after="0" w:line="240" w:lineRule="auto"/>
        <w:ind w:firstLine="709"/>
        <w:jc w:val="center"/>
        <w:rPr>
          <w:i w:val="1"/>
          <w:iCs w:val="1"/>
          <w:sz w:val="20"/>
          <w:szCs w:val="20"/>
        </w:rPr>
      </w:pPr>
    </w:p>
    <w:p>
      <w:pPr>
        <w:pStyle w:val="Normal.0"/>
        <w:spacing w:after="0" w:line="240" w:lineRule="auto"/>
        <w:jc w:val="both"/>
        <w:rPr>
          <w:sz w:val="28"/>
          <w:szCs w:val="28"/>
        </w:rPr>
      </w:pPr>
      <w:r>
        <w:drawing xmlns:a="http://schemas.openxmlformats.org/drawingml/2006/main">
          <wp:inline distT="0" distB="0" distL="0" distR="0">
            <wp:extent cx="6210300" cy="4148457"/>
            <wp:effectExtent l="0" t="0" r="0" b="0"/>
            <wp:docPr id="1073741827" name="officeArt object" descr="Газовая турбина - OP16-3A: обычная камера сгорания (опционально  двухтопливная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Газовая турбина - OP16-3A: обычная камера сгорания (опционально  двухтопливная)" descr="Газовая турбина - OP16-3A: обычная камера сгорания (опционально  двухтопливная)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484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ind w:firstLine="709"/>
        <w:jc w:val="center"/>
        <w:rPr>
          <w:i w:val="1"/>
          <w:iCs w:val="1"/>
          <w:sz w:val="20"/>
          <w:szCs w:val="20"/>
        </w:rPr>
      </w:pPr>
      <w:r>
        <w:rPr>
          <w:i w:val="1"/>
          <w:iCs w:val="1"/>
          <w:sz w:val="20"/>
          <w:szCs w:val="20"/>
          <w:rtl w:val="0"/>
          <w:lang w:val="ru-RU"/>
        </w:rPr>
        <w:t>Пример энергоцентра внутреннего исполнения</w:t>
      </w:r>
    </w:p>
    <w:p>
      <w:pPr>
        <w:pStyle w:val="Normal.0"/>
        <w:spacing w:after="0" w:line="240" w:lineRule="auto"/>
        <w:jc w:val="both"/>
      </w:pPr>
      <w:r>
        <w:rPr>
          <w:sz w:val="28"/>
          <w:szCs w:val="28"/>
        </w:rPr>
      </w:r>
    </w:p>
    <w:sectPr>
      <w:headerReference w:type="default" r:id="rId7"/>
      <w:footerReference w:type="default" r:id="rId8"/>
      <w:pgSz w:w="11900" w:h="16840" w:orient="portrait"/>
      <w:pgMar w:top="1134" w:right="850" w:bottom="851" w:left="1276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Wingding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bullet"/>
      <w:suff w:val="tab"/>
      <w:lvlText w:val="✓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